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872"/>
        <w:gridCol w:w="4672"/>
        <w:gridCol w:w="3138"/>
        <w:gridCol w:w="2906"/>
      </w:tblGrid>
      <w:tr w:rsidR="00577FE4" w:rsidTr="00434E2A">
        <w:tc>
          <w:tcPr>
            <w:tcW w:w="15588" w:type="dxa"/>
            <w:gridSpan w:val="4"/>
          </w:tcPr>
          <w:p w:rsidR="00577FE4" w:rsidRPr="00870172" w:rsidRDefault="00577FE4" w:rsidP="006A24BC">
            <w:pPr>
              <w:rPr>
                <w:rFonts w:ascii="Comic Sans MS" w:hAnsi="Comic Sans MS" w:cs="Arial"/>
                <w:b/>
                <w:bCs/>
              </w:rPr>
            </w:pPr>
            <w:r w:rsidRPr="00870172">
              <w:rPr>
                <w:rFonts w:ascii="Comic Sans MS" w:hAnsi="Comic Sans MS" w:cs="Arial"/>
                <w:b/>
                <w:bCs/>
                <w:sz w:val="28"/>
                <w:szCs w:val="28"/>
              </w:rPr>
              <w:t>Health and Socia</w:t>
            </w:r>
            <w:r w:rsidR="007249DD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l Care - </w:t>
            </w:r>
            <w:bookmarkStart w:id="0" w:name="_GoBack"/>
            <w:bookmarkEnd w:id="0"/>
            <w:r w:rsidR="007249DD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background to what will be covered in </w:t>
            </w:r>
            <w:r w:rsidR="00365936">
              <w:rPr>
                <w:rFonts w:ascii="Comic Sans MS" w:hAnsi="Comic Sans MS" w:cs="Arial"/>
                <w:b/>
                <w:bCs/>
                <w:sz w:val="28"/>
                <w:szCs w:val="28"/>
              </w:rPr>
              <w:t>: Component</w:t>
            </w:r>
            <w:r w:rsidRPr="00870172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 </w:t>
            </w:r>
            <w:r w:rsidR="006A24BC">
              <w:rPr>
                <w:rFonts w:ascii="Comic Sans MS" w:hAnsi="Comic Sans MS" w:cs="Arial"/>
                <w:b/>
                <w:bCs/>
                <w:sz w:val="28"/>
                <w:szCs w:val="28"/>
              </w:rPr>
              <w:t>1 Human Lifespan Development</w:t>
            </w:r>
          </w:p>
        </w:tc>
      </w:tr>
      <w:tr w:rsidR="00434E2A" w:rsidRPr="00577FE4" w:rsidTr="00434E2A">
        <w:trPr>
          <w:trHeight w:val="499"/>
        </w:trPr>
        <w:tc>
          <w:tcPr>
            <w:tcW w:w="15588" w:type="dxa"/>
            <w:gridSpan w:val="4"/>
          </w:tcPr>
          <w:p w:rsidR="00434E2A" w:rsidRPr="006A24BC" w:rsidRDefault="00434E2A" w:rsidP="007249DD">
            <w:pPr>
              <w:rPr>
                <w:rFonts w:ascii="Verdana" w:hAnsi="Verdana" w:cs="Verdana"/>
                <w:sz w:val="20"/>
                <w:szCs w:val="20"/>
              </w:rPr>
            </w:pPr>
            <w:r w:rsidRPr="006A24BC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Learning Aim A: </w:t>
            </w: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Understand human growth and development across life stages and the factors that affect it</w:t>
            </w:r>
          </w:p>
        </w:tc>
      </w:tr>
      <w:tr w:rsidR="00A00105" w:rsidRPr="00577FE4" w:rsidTr="00434E2A">
        <w:trPr>
          <w:trHeight w:val="695"/>
        </w:trPr>
        <w:tc>
          <w:tcPr>
            <w:tcW w:w="15588" w:type="dxa"/>
            <w:gridSpan w:val="4"/>
          </w:tcPr>
          <w:p w:rsidR="00A00105" w:rsidRPr="006620E8" w:rsidRDefault="006A24BC" w:rsidP="00365936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i/>
                <w:iCs/>
                <w:sz w:val="20"/>
                <w:szCs w:val="20"/>
              </w:rPr>
            </w:pPr>
            <w:r w:rsidRPr="006620E8">
              <w:rPr>
                <w:rFonts w:ascii="Comic Sans MS" w:hAnsi="Comic Sans MS" w:cs="Verdana"/>
                <w:i/>
                <w:iCs/>
                <w:sz w:val="20"/>
                <w:szCs w:val="20"/>
              </w:rPr>
              <w:t>How do people grow and develop throughout their lives? How can factors such as lifes</w:t>
            </w:r>
            <w:r w:rsidR="00365936" w:rsidRPr="006620E8">
              <w:rPr>
                <w:rFonts w:ascii="Comic Sans MS" w:hAnsi="Comic Sans MS" w:cs="Verdana"/>
                <w:i/>
                <w:iCs/>
                <w:sz w:val="20"/>
                <w:szCs w:val="20"/>
              </w:rPr>
              <w:t xml:space="preserve">tyle choices, relationships </w:t>
            </w:r>
            <w:r w:rsidRPr="006620E8">
              <w:rPr>
                <w:rFonts w:ascii="Comic Sans MS" w:hAnsi="Comic Sans MS" w:cs="Verdana"/>
                <w:i/>
                <w:iCs/>
                <w:sz w:val="20"/>
                <w:szCs w:val="20"/>
              </w:rPr>
              <w:t xml:space="preserve">affect </w:t>
            </w:r>
            <w:r w:rsidR="00365936" w:rsidRPr="006620E8">
              <w:rPr>
                <w:rFonts w:ascii="Comic Sans MS" w:hAnsi="Comic Sans MS" w:cs="Verdana"/>
                <w:i/>
                <w:iCs/>
                <w:sz w:val="20"/>
                <w:szCs w:val="20"/>
              </w:rPr>
              <w:t>this</w:t>
            </w:r>
            <w:r w:rsidRPr="006620E8">
              <w:rPr>
                <w:rFonts w:ascii="Comic Sans MS" w:hAnsi="Comic Sans MS" w:cs="Verdana"/>
                <w:i/>
                <w:iCs/>
                <w:sz w:val="20"/>
                <w:szCs w:val="20"/>
              </w:rPr>
              <w:t>?</w:t>
            </w:r>
            <w:r w:rsidR="00365936" w:rsidRPr="006620E8">
              <w:rPr>
                <w:rFonts w:ascii="Comic Sans MS" w:hAnsi="Comic Sans MS" w:cs="Verdana"/>
                <w:i/>
                <w:iCs/>
                <w:sz w:val="20"/>
                <w:szCs w:val="20"/>
              </w:rPr>
              <w:t xml:space="preserve"> Understanding these processes is essential knowledge and understanding for health and social care practitioners.</w:t>
            </w:r>
          </w:p>
        </w:tc>
      </w:tr>
      <w:tr w:rsidR="00E330BF" w:rsidRPr="00577FE4" w:rsidTr="00434E2A">
        <w:trPr>
          <w:trHeight w:val="450"/>
        </w:trPr>
        <w:tc>
          <w:tcPr>
            <w:tcW w:w="9067" w:type="dxa"/>
            <w:gridSpan w:val="2"/>
          </w:tcPr>
          <w:p w:rsidR="00CB6828" w:rsidRPr="00365936" w:rsidRDefault="00CB6828" w:rsidP="00A0010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u w:val="single"/>
              </w:rPr>
            </w:pPr>
            <w:r w:rsidRPr="00365936">
              <w:rPr>
                <w:rFonts w:ascii="Comic Sans MS" w:hAnsi="Comic Sans MS" w:cs="Arial"/>
                <w:b/>
                <w:bCs/>
                <w:u w:val="single"/>
              </w:rPr>
              <w:t>Growth and development across life stages</w:t>
            </w:r>
          </w:p>
        </w:tc>
        <w:tc>
          <w:tcPr>
            <w:tcW w:w="6521" w:type="dxa"/>
            <w:gridSpan w:val="2"/>
          </w:tcPr>
          <w:p w:rsidR="00CB6828" w:rsidRPr="00CB6828" w:rsidRDefault="00CB6828" w:rsidP="005D26DB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u w:val="single"/>
              </w:rPr>
              <w:t>Factors affecting growth and development</w:t>
            </w:r>
          </w:p>
        </w:tc>
      </w:tr>
      <w:tr w:rsidR="00E330BF" w:rsidRPr="00577FE4" w:rsidTr="00434E2A">
        <w:trPr>
          <w:trHeight w:val="1431"/>
        </w:trPr>
        <w:tc>
          <w:tcPr>
            <w:tcW w:w="3847" w:type="dxa"/>
            <w:vMerge w:val="restart"/>
          </w:tcPr>
          <w:p w:rsidR="00645A26" w:rsidRPr="005D26DB" w:rsidRDefault="00645A26" w:rsidP="00AB5A2E">
            <w:pPr>
              <w:rPr>
                <w:rFonts w:ascii="Comic Sans MS" w:hAnsi="Comic Sans MS" w:cs="Arial"/>
                <w:b/>
                <w:bCs/>
                <w:u w:val="single"/>
              </w:rPr>
            </w:pPr>
            <w:proofErr w:type="spellStart"/>
            <w:r w:rsidRPr="005D26DB">
              <w:rPr>
                <w:rFonts w:ascii="Comic Sans MS" w:hAnsi="Comic Sans MS" w:cs="Arial"/>
                <w:b/>
                <w:bCs/>
                <w:u w:val="single"/>
              </w:rPr>
              <w:t>Lifestages</w:t>
            </w:r>
            <w:proofErr w:type="spellEnd"/>
          </w:p>
          <w:p w:rsidR="00645A26" w:rsidRPr="006A24BC" w:rsidRDefault="00645A26" w:rsidP="0087630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Infancy (0 – 2 years)</w:t>
            </w:r>
          </w:p>
          <w:p w:rsidR="00645A26" w:rsidRPr="006A24BC" w:rsidRDefault="00645A26" w:rsidP="0087630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Early childhood (3 – 8 years)</w:t>
            </w:r>
          </w:p>
          <w:p w:rsidR="00645A26" w:rsidRPr="006A24BC" w:rsidRDefault="00645A26" w:rsidP="0087630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Adolescence (9 – 18 years)</w:t>
            </w:r>
          </w:p>
          <w:p w:rsidR="00645A26" w:rsidRPr="006A24BC" w:rsidRDefault="00645A26" w:rsidP="0087630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Early adulthood (19 – 45 years)</w:t>
            </w:r>
          </w:p>
          <w:p w:rsidR="00645A26" w:rsidRPr="006A24BC" w:rsidRDefault="00645A26" w:rsidP="0087630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Middle adulthood (46 – 65 years)</w:t>
            </w:r>
          </w:p>
          <w:p w:rsidR="00645A26" w:rsidRPr="00AB5A2E" w:rsidRDefault="00645A26" w:rsidP="0087630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Later adulthood (65+ years)</w:t>
            </w:r>
          </w:p>
          <w:p w:rsidR="00AB5A2E" w:rsidRPr="00AB5A2E" w:rsidRDefault="00AB5A2E" w:rsidP="00AB5A2E">
            <w:pPr>
              <w:rPr>
                <w:rFonts w:ascii="Comic Sans MS" w:hAnsi="Comic Sans MS" w:cs="Arial"/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98D8CE" wp14:editId="76CA93F7">
                  <wp:extent cx="2266719" cy="1112109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443" cy="114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Merge w:val="restart"/>
          </w:tcPr>
          <w:p w:rsidR="00645A26" w:rsidRDefault="00645A26" w:rsidP="00AB5A2E">
            <w:pPr>
              <w:rPr>
                <w:rFonts w:ascii="Comic Sans MS" w:hAnsi="Comic Sans MS" w:cs="Arial"/>
                <w:b/>
                <w:bCs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u w:val="single"/>
              </w:rPr>
              <w:t>Holistic Development</w:t>
            </w:r>
          </w:p>
          <w:p w:rsidR="00645A26" w:rsidRPr="00E330BF" w:rsidRDefault="00645A26" w:rsidP="00E330B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 w:cs="Arial"/>
              </w:rPr>
            </w:pPr>
            <w:r w:rsidRPr="0087630D">
              <w:rPr>
                <w:rFonts w:ascii="Comic Sans MS" w:hAnsi="Comic Sans MS" w:cs="Arial"/>
                <w:b/>
                <w:bCs/>
              </w:rPr>
              <w:t>P</w:t>
            </w:r>
            <w:r w:rsidRPr="0087630D">
              <w:rPr>
                <w:rFonts w:ascii="Comic Sans MS" w:hAnsi="Comic Sans MS" w:cs="Arial"/>
              </w:rPr>
              <w:t xml:space="preserve">hysical development – </w:t>
            </w:r>
            <w:r w:rsidRPr="0087630D">
              <w:rPr>
                <w:rFonts w:ascii="Comic Sans MS" w:hAnsi="Comic Sans MS" w:cs="Arial"/>
                <w:sz w:val="20"/>
                <w:szCs w:val="20"/>
              </w:rPr>
              <w:t>Physical growth and physiological change</w:t>
            </w:r>
          </w:p>
          <w:p w:rsidR="00645A26" w:rsidRPr="00E330BF" w:rsidRDefault="00645A26" w:rsidP="00E330B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 w:cs="Arial"/>
              </w:rPr>
            </w:pPr>
            <w:r w:rsidRPr="0087630D">
              <w:rPr>
                <w:rFonts w:ascii="Comic Sans MS" w:hAnsi="Comic Sans MS" w:cs="Arial"/>
                <w:b/>
                <w:bCs/>
              </w:rPr>
              <w:t>I</w:t>
            </w:r>
            <w:r w:rsidRPr="0087630D">
              <w:rPr>
                <w:rFonts w:ascii="Comic Sans MS" w:hAnsi="Comic Sans MS" w:cs="Arial"/>
              </w:rPr>
              <w:t xml:space="preserve">ntellectual development – </w:t>
            </w:r>
            <w:r w:rsidRPr="0087630D">
              <w:rPr>
                <w:rFonts w:ascii="Comic Sans MS" w:hAnsi="Comic Sans MS" w:cs="Arial"/>
                <w:sz w:val="20"/>
                <w:szCs w:val="20"/>
              </w:rPr>
              <w:t>Developing thinking and language skill and common activities that promote learning and development</w:t>
            </w:r>
          </w:p>
          <w:p w:rsidR="00645A26" w:rsidRPr="00E330BF" w:rsidRDefault="00645A26" w:rsidP="00E330BF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 w:cs="Arial"/>
              </w:rPr>
            </w:pPr>
            <w:r w:rsidRPr="0087630D">
              <w:rPr>
                <w:rFonts w:ascii="Comic Sans MS" w:hAnsi="Comic Sans MS" w:cs="Arial"/>
                <w:b/>
                <w:bCs/>
              </w:rPr>
              <w:t>E</w:t>
            </w:r>
            <w:r w:rsidRPr="0087630D">
              <w:rPr>
                <w:rFonts w:ascii="Comic Sans MS" w:hAnsi="Comic Sans MS" w:cs="Arial"/>
              </w:rPr>
              <w:t xml:space="preserve">motional development – </w:t>
            </w:r>
            <w:r w:rsidRPr="0087630D">
              <w:rPr>
                <w:rFonts w:ascii="Comic Sans MS" w:hAnsi="Comic Sans MS" w:cs="Arial"/>
                <w:sz w:val="20"/>
                <w:szCs w:val="20"/>
              </w:rPr>
              <w:t>Developing feelings about self and other</w:t>
            </w:r>
          </w:p>
          <w:p w:rsidR="00645A26" w:rsidRPr="0087630D" w:rsidRDefault="00645A26" w:rsidP="0087630D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Comic Sans MS" w:hAnsi="Comic Sans MS" w:cs="Arial"/>
              </w:rPr>
            </w:pPr>
            <w:r w:rsidRPr="0087630D">
              <w:rPr>
                <w:rFonts w:ascii="Comic Sans MS" w:hAnsi="Comic Sans MS" w:cs="Arial"/>
                <w:b/>
                <w:bCs/>
              </w:rPr>
              <w:t>S</w:t>
            </w:r>
            <w:r w:rsidRPr="0087630D">
              <w:rPr>
                <w:rFonts w:ascii="Comic Sans MS" w:hAnsi="Comic Sans MS" w:cs="Arial"/>
              </w:rPr>
              <w:t xml:space="preserve">ocial development – </w:t>
            </w:r>
            <w:r w:rsidRPr="0087630D">
              <w:rPr>
                <w:rFonts w:ascii="Comic Sans MS" w:hAnsi="Comic Sans MS" w:cs="Arial"/>
                <w:sz w:val="20"/>
                <w:szCs w:val="20"/>
              </w:rPr>
              <w:t>Forming relationships</w:t>
            </w:r>
            <w:r w:rsidRPr="0087630D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3402" w:type="dxa"/>
          </w:tcPr>
          <w:p w:rsidR="00645A26" w:rsidRPr="0087630D" w:rsidRDefault="00CB6828" w:rsidP="005D26DB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 xml:space="preserve">1. </w:t>
            </w:r>
            <w:r w:rsidR="00645A26" w:rsidRPr="0087630D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Physical factors</w:t>
            </w:r>
          </w:p>
          <w:p w:rsidR="00645A26" w:rsidRPr="00645A26" w:rsidRDefault="00645A26" w:rsidP="00CB682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Genetic inheritance</w:t>
            </w:r>
          </w:p>
          <w:p w:rsidR="00645A26" w:rsidRPr="00645A26" w:rsidRDefault="00CB6828" w:rsidP="00CB682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Diet and l</w:t>
            </w:r>
            <w:r w:rsidR="00645A26">
              <w:rPr>
                <w:rFonts w:ascii="Comic Sans MS" w:hAnsi="Comic Sans MS" w:cs="Arial"/>
                <w:sz w:val="20"/>
                <w:szCs w:val="20"/>
              </w:rPr>
              <w:t>ifestyle choices</w:t>
            </w:r>
          </w:p>
          <w:p w:rsidR="00645A26" w:rsidRPr="00CB6828" w:rsidRDefault="00CB6828" w:rsidP="00CB682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Experience of i</w:t>
            </w:r>
            <w:r w:rsidR="00645A26">
              <w:rPr>
                <w:rFonts w:ascii="Comic Sans MS" w:hAnsi="Comic Sans MS" w:cs="Arial"/>
                <w:sz w:val="20"/>
                <w:szCs w:val="20"/>
              </w:rPr>
              <w:t>llness and disease</w:t>
            </w:r>
          </w:p>
          <w:p w:rsidR="00CB6828" w:rsidRPr="00645A26" w:rsidRDefault="00CB6828" w:rsidP="00CB6828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Appearance</w:t>
            </w:r>
          </w:p>
        </w:tc>
        <w:tc>
          <w:tcPr>
            <w:tcW w:w="3119" w:type="dxa"/>
          </w:tcPr>
          <w:p w:rsidR="00CB6828" w:rsidRPr="0087630D" w:rsidRDefault="00CB6828" w:rsidP="00CB6828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 xml:space="preserve">2. </w:t>
            </w:r>
            <w:r w:rsidRPr="0087630D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Economic factors</w:t>
            </w:r>
          </w:p>
          <w:p w:rsidR="00CB6828" w:rsidRPr="00645A26" w:rsidRDefault="00CB6828" w:rsidP="00CB6828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Income/ wealth</w:t>
            </w:r>
          </w:p>
          <w:p w:rsidR="00CB6828" w:rsidRPr="00645A26" w:rsidRDefault="00CB6828" w:rsidP="00CB6828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Material possessions</w:t>
            </w:r>
          </w:p>
          <w:p w:rsidR="00CB6828" w:rsidRPr="00645A26" w:rsidRDefault="00CB6828" w:rsidP="00CB6828">
            <w:pPr>
              <w:pStyle w:val="ListParagraph"/>
              <w:rPr>
                <w:rFonts w:ascii="Comic Sans MS" w:hAnsi="Comic Sans MS" w:cs="Arial"/>
                <w:sz w:val="20"/>
                <w:szCs w:val="20"/>
                <w:u w:val="single"/>
              </w:rPr>
            </w:pPr>
          </w:p>
        </w:tc>
      </w:tr>
      <w:tr w:rsidR="00E330BF" w:rsidRPr="00577FE4" w:rsidTr="00434E2A">
        <w:trPr>
          <w:trHeight w:val="1431"/>
        </w:trPr>
        <w:tc>
          <w:tcPr>
            <w:tcW w:w="3847" w:type="dxa"/>
            <w:vMerge/>
          </w:tcPr>
          <w:p w:rsidR="00CB6828" w:rsidRPr="005D26DB" w:rsidRDefault="00CB6828" w:rsidP="005E0542">
            <w:pPr>
              <w:rPr>
                <w:rFonts w:ascii="Comic Sans MS" w:hAnsi="Comic Sans MS" w:cs="Arial"/>
                <w:b/>
                <w:bCs/>
                <w:u w:val="single"/>
              </w:rPr>
            </w:pPr>
          </w:p>
        </w:tc>
        <w:tc>
          <w:tcPr>
            <w:tcW w:w="5220" w:type="dxa"/>
            <w:vMerge/>
          </w:tcPr>
          <w:p w:rsidR="00CB6828" w:rsidRDefault="00CB6828" w:rsidP="006A24BC">
            <w:pPr>
              <w:rPr>
                <w:rFonts w:ascii="Comic Sans MS" w:hAnsi="Comic Sans MS" w:cs="Arial"/>
                <w:b/>
                <w:bCs/>
                <w:u w:val="single"/>
              </w:rPr>
            </w:pPr>
          </w:p>
        </w:tc>
        <w:tc>
          <w:tcPr>
            <w:tcW w:w="6521" w:type="dxa"/>
            <w:gridSpan w:val="2"/>
          </w:tcPr>
          <w:p w:rsidR="00CB6828" w:rsidRPr="0087630D" w:rsidRDefault="00E330BF" w:rsidP="00CB6828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2851150</wp:posOffset>
                  </wp:positionH>
                  <wp:positionV relativeFrom="paragraph">
                    <wp:posOffset>89535</wp:posOffset>
                  </wp:positionV>
                  <wp:extent cx="823595" cy="917575"/>
                  <wp:effectExtent l="0" t="0" r="0" b="0"/>
                  <wp:wrapThrough wrapText="bothSides">
                    <wp:wrapPolygon edited="0">
                      <wp:start x="0" y="0"/>
                      <wp:lineTo x="0" y="21077"/>
                      <wp:lineTo x="20984" y="21077"/>
                      <wp:lineTo x="2098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828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 xml:space="preserve">3. </w:t>
            </w:r>
            <w:r w:rsidR="00CB6828" w:rsidRPr="0087630D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Social, Cultural and emotional factors</w:t>
            </w:r>
          </w:p>
          <w:p w:rsidR="00CB6828" w:rsidRPr="00645A26" w:rsidRDefault="00CB6828" w:rsidP="00CB682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Educational experiences</w:t>
            </w:r>
          </w:p>
          <w:p w:rsidR="00CB6828" w:rsidRPr="00645A26" w:rsidRDefault="00CB6828" w:rsidP="00E330B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Culture, e.g. community involvement, religion, gender </w:t>
            </w:r>
          </w:p>
          <w:p w:rsidR="00CB6828" w:rsidRPr="00645A26" w:rsidRDefault="00CB6828" w:rsidP="00CB682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Influence of role models</w:t>
            </w:r>
          </w:p>
          <w:p w:rsidR="00A5695D" w:rsidRPr="00A5695D" w:rsidRDefault="00CB6828" w:rsidP="00A5695D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Influence of social isolation</w:t>
            </w:r>
          </w:p>
          <w:p w:rsidR="00CB6828" w:rsidRPr="00A5695D" w:rsidRDefault="00CB6828" w:rsidP="00A5695D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00A5695D">
              <w:rPr>
                <w:rFonts w:ascii="Comic Sans MS" w:hAnsi="Comic Sans MS" w:cs="Arial"/>
                <w:sz w:val="20"/>
                <w:szCs w:val="20"/>
              </w:rPr>
              <w:t>Personal relationship with friends and family</w:t>
            </w:r>
            <w:r w:rsidR="00E330BF">
              <w:rPr>
                <w:noProof/>
              </w:rPr>
              <w:t xml:space="preserve"> </w:t>
            </w:r>
          </w:p>
        </w:tc>
      </w:tr>
      <w:tr w:rsidR="00365936" w:rsidRPr="00577FE4" w:rsidTr="00434E2A">
        <w:trPr>
          <w:trHeight w:val="474"/>
        </w:trPr>
        <w:tc>
          <w:tcPr>
            <w:tcW w:w="15588" w:type="dxa"/>
            <w:gridSpan w:val="4"/>
          </w:tcPr>
          <w:p w:rsidR="00365936" w:rsidRPr="006620E8" w:rsidRDefault="00434E2A" w:rsidP="00434E2A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 w:rsidRPr="006620E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Learning Aim B: </w:t>
            </w:r>
            <w:r w:rsidRPr="006620E8">
              <w:rPr>
                <w:rFonts w:ascii="Comic Sans MS" w:hAnsi="Comic Sans MS" w:cs="Verdana"/>
                <w:b/>
                <w:bCs/>
                <w:sz w:val="20"/>
                <w:szCs w:val="20"/>
              </w:rPr>
              <w:t>Investigate how individuals deal with life events</w:t>
            </w:r>
          </w:p>
        </w:tc>
      </w:tr>
      <w:tr w:rsidR="00E330BF" w:rsidRPr="00577FE4" w:rsidTr="00434E2A">
        <w:trPr>
          <w:trHeight w:val="474"/>
        </w:trPr>
        <w:tc>
          <w:tcPr>
            <w:tcW w:w="9067" w:type="dxa"/>
            <w:gridSpan w:val="2"/>
          </w:tcPr>
          <w:p w:rsidR="00434E2A" w:rsidRPr="00E330BF" w:rsidRDefault="00434E2A" w:rsidP="00434E2A">
            <w:pP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E330BF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Different types of life event</w:t>
            </w:r>
          </w:p>
        </w:tc>
        <w:tc>
          <w:tcPr>
            <w:tcW w:w="6521" w:type="dxa"/>
            <w:gridSpan w:val="2"/>
          </w:tcPr>
          <w:p w:rsidR="00434E2A" w:rsidRPr="00E330BF" w:rsidRDefault="00434E2A" w:rsidP="00434E2A">
            <w:pP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 w:rsidRPr="00E330BF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Coping with change caused by life events</w:t>
            </w:r>
          </w:p>
        </w:tc>
      </w:tr>
      <w:tr w:rsidR="00E330BF" w:rsidRPr="00577FE4" w:rsidTr="006C395B">
        <w:trPr>
          <w:trHeight w:val="552"/>
        </w:trPr>
        <w:tc>
          <w:tcPr>
            <w:tcW w:w="5129" w:type="dxa"/>
          </w:tcPr>
          <w:p w:rsidR="006C395B" w:rsidRPr="0087630D" w:rsidRDefault="006C395B" w:rsidP="00D749C7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1. Physical events</w:t>
            </w:r>
          </w:p>
          <w:p w:rsidR="006C395B" w:rsidRPr="00434E2A" w:rsidRDefault="006C395B" w:rsidP="00434E2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Accident/ injury</w:t>
            </w:r>
          </w:p>
          <w:p w:rsidR="006C395B" w:rsidRPr="006C395B" w:rsidRDefault="006C395B" w:rsidP="006C395B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Ill health</w:t>
            </w:r>
          </w:p>
          <w:p w:rsidR="006C395B" w:rsidRPr="00320409" w:rsidRDefault="006C395B" w:rsidP="00D749C7">
            <w:pPr>
              <w:pStyle w:val="ListParagraph"/>
              <w:rPr>
                <w:rFonts w:ascii="Comic Sans MS" w:hAnsi="Comic Sans MS" w:cs="Arial"/>
                <w:sz w:val="20"/>
                <w:szCs w:val="20"/>
                <w:u w:val="single"/>
              </w:rPr>
            </w:pPr>
          </w:p>
        </w:tc>
        <w:tc>
          <w:tcPr>
            <w:tcW w:w="3938" w:type="dxa"/>
            <w:vMerge w:val="restart"/>
          </w:tcPr>
          <w:p w:rsidR="006C395B" w:rsidRDefault="006C395B" w:rsidP="006C395B">
            <w:pPr>
              <w:pStyle w:val="ListParagraph"/>
              <w:ind w:left="-139" w:firstLine="142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3. Life circumstances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4"/>
              </w:numPr>
              <w:ind w:left="85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Moving house, school or job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4"/>
              </w:numPr>
              <w:ind w:left="85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Exclusion from education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4"/>
              </w:numPr>
              <w:ind w:left="85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Redundancy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4"/>
              </w:numPr>
              <w:ind w:left="85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Imprisonment</w:t>
            </w:r>
          </w:p>
          <w:p w:rsidR="006C395B" w:rsidRPr="006C395B" w:rsidRDefault="00E330BF" w:rsidP="006C395B">
            <w:pPr>
              <w:pStyle w:val="ListParagraph"/>
              <w:numPr>
                <w:ilvl w:val="0"/>
                <w:numId w:val="34"/>
              </w:numPr>
              <w:ind w:left="854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18415</wp:posOffset>
                  </wp:positionV>
                  <wp:extent cx="1344930" cy="927100"/>
                  <wp:effectExtent l="0" t="0" r="7620" b="6350"/>
                  <wp:wrapThrough wrapText="bothSides">
                    <wp:wrapPolygon edited="0">
                      <wp:start x="0" y="0"/>
                      <wp:lineTo x="0" y="21304"/>
                      <wp:lineTo x="21416" y="21304"/>
                      <wp:lineTo x="21416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5B">
              <w:rPr>
                <w:rFonts w:ascii="Comic Sans MS" w:hAnsi="Comic Sans MS" w:cs="Arial"/>
                <w:sz w:val="20"/>
                <w:szCs w:val="20"/>
              </w:rPr>
              <w:t xml:space="preserve">Retirement </w:t>
            </w:r>
          </w:p>
        </w:tc>
        <w:tc>
          <w:tcPr>
            <w:tcW w:w="6521" w:type="dxa"/>
            <w:gridSpan w:val="2"/>
            <w:vMerge w:val="restart"/>
          </w:tcPr>
          <w:p w:rsidR="006C395B" w:rsidRPr="00E330BF" w:rsidRDefault="006C395B" w:rsidP="00E330BF">
            <w:pPr>
              <w:pStyle w:val="ListParagraph"/>
              <w:numPr>
                <w:ilvl w:val="0"/>
                <w:numId w:val="35"/>
              </w:numPr>
              <w:ind w:left="318" w:hanging="284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How individuals adapt to these changes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5"/>
              </w:numPr>
              <w:ind w:left="318" w:hanging="284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Sources of support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Family, friends partners</w:t>
            </w:r>
          </w:p>
          <w:p w:rsidR="006C395B" w:rsidRDefault="006C395B" w:rsidP="006C395B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Professional carers and services</w:t>
            </w:r>
          </w:p>
          <w:p w:rsidR="006C395B" w:rsidRPr="00E330BF" w:rsidRDefault="006C395B" w:rsidP="00E330BF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Community groups, voluntary and faith based organisations</w:t>
            </w:r>
          </w:p>
        </w:tc>
      </w:tr>
      <w:tr w:rsidR="00E330BF" w:rsidRPr="00577FE4" w:rsidTr="006C395B">
        <w:trPr>
          <w:trHeight w:val="843"/>
        </w:trPr>
        <w:tc>
          <w:tcPr>
            <w:tcW w:w="5129" w:type="dxa"/>
            <w:vMerge w:val="restart"/>
          </w:tcPr>
          <w:p w:rsidR="006C395B" w:rsidRDefault="006C395B" w:rsidP="00D749C7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2. Relationship changes</w:t>
            </w:r>
          </w:p>
          <w:p w:rsidR="006C395B" w:rsidRDefault="006C395B" w:rsidP="00434E2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Entering a relationship</w:t>
            </w:r>
          </w:p>
          <w:p w:rsidR="006C395B" w:rsidRDefault="00E330BF" w:rsidP="00434E2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99060</wp:posOffset>
                  </wp:positionV>
                  <wp:extent cx="1408430" cy="716280"/>
                  <wp:effectExtent l="0" t="0" r="1270" b="7620"/>
                  <wp:wrapThrough wrapText="bothSides">
                    <wp:wrapPolygon edited="0">
                      <wp:start x="0" y="0"/>
                      <wp:lineTo x="0" y="21255"/>
                      <wp:lineTo x="21327" y="21255"/>
                      <wp:lineTo x="21327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3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395B">
              <w:rPr>
                <w:rFonts w:ascii="Comic Sans MS" w:hAnsi="Comic Sans MS" w:cs="Arial"/>
                <w:bCs/>
                <w:sz w:val="20"/>
                <w:szCs w:val="20"/>
              </w:rPr>
              <w:t>Marriage</w:t>
            </w:r>
          </w:p>
          <w:p w:rsidR="006C395B" w:rsidRDefault="006C395B" w:rsidP="00434E2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Divorce</w:t>
            </w:r>
          </w:p>
          <w:p w:rsidR="006C395B" w:rsidRDefault="006C395B" w:rsidP="00434E2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Parenthood</w:t>
            </w:r>
            <w:r w:rsidR="00E330BF">
              <w:rPr>
                <w:noProof/>
              </w:rPr>
              <w:t xml:space="preserve"> </w:t>
            </w:r>
          </w:p>
          <w:p w:rsidR="006C395B" w:rsidRDefault="006C395B" w:rsidP="00434E2A">
            <w:pPr>
              <w:pStyle w:val="ListParagraph"/>
              <w:numPr>
                <w:ilvl w:val="0"/>
                <w:numId w:val="32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Bereavement</w:t>
            </w:r>
          </w:p>
          <w:p w:rsidR="006C395B" w:rsidRPr="00434E2A" w:rsidRDefault="006C395B" w:rsidP="006C395B">
            <w:pPr>
              <w:pStyle w:val="ListParagrap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3938" w:type="dxa"/>
            <w:vMerge/>
          </w:tcPr>
          <w:p w:rsidR="006C395B" w:rsidRPr="00320409" w:rsidRDefault="006C395B" w:rsidP="00434E2A">
            <w:pPr>
              <w:pStyle w:val="ListParagraph"/>
              <w:ind w:left="360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vMerge/>
          </w:tcPr>
          <w:p w:rsidR="006C395B" w:rsidRPr="006C395B" w:rsidRDefault="006C395B" w:rsidP="006C395B">
            <w:pPr>
              <w:pStyle w:val="ListParagraph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</w:p>
        </w:tc>
      </w:tr>
      <w:tr w:rsidR="00E330BF" w:rsidRPr="00577FE4" w:rsidTr="00434E2A">
        <w:trPr>
          <w:trHeight w:val="843"/>
        </w:trPr>
        <w:tc>
          <w:tcPr>
            <w:tcW w:w="5129" w:type="dxa"/>
            <w:vMerge/>
          </w:tcPr>
          <w:p w:rsidR="006C395B" w:rsidRDefault="006C395B" w:rsidP="00D749C7">
            <w:pP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38" w:type="dxa"/>
            <w:vMerge/>
          </w:tcPr>
          <w:p w:rsidR="006C395B" w:rsidRPr="00320409" w:rsidRDefault="006C395B" w:rsidP="00434E2A">
            <w:pPr>
              <w:pStyle w:val="ListParagraph"/>
              <w:ind w:left="360"/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</w:tcPr>
          <w:p w:rsidR="006C395B" w:rsidRDefault="006C395B" w:rsidP="006C395B">
            <w:pPr>
              <w:pStyle w:val="ListParagraph"/>
              <w:numPr>
                <w:ilvl w:val="0"/>
                <w:numId w:val="35"/>
              </w:numPr>
              <w:ind w:left="318" w:hanging="318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Types of support</w:t>
            </w:r>
          </w:p>
          <w:p w:rsidR="006C395B" w:rsidRDefault="006620E8" w:rsidP="006C395B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Emotional</w:t>
            </w:r>
          </w:p>
          <w:p w:rsidR="006620E8" w:rsidRDefault="006620E8" w:rsidP="006C395B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Information advice</w:t>
            </w:r>
          </w:p>
          <w:p w:rsidR="00E330BF" w:rsidRPr="006620E8" w:rsidRDefault="006620E8" w:rsidP="007249D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Practical help, e.g. financial assistance, childcare, </w:t>
            </w:r>
            <w:r w:rsidR="00E330BF">
              <w:rPr>
                <w:rFonts w:ascii="Comic Sans MS" w:hAnsi="Comic Sans MS" w:cs="Arial"/>
                <w:bCs/>
                <w:sz w:val="20"/>
                <w:szCs w:val="20"/>
              </w:rPr>
              <w:t>transport</w:t>
            </w:r>
          </w:p>
        </w:tc>
      </w:tr>
    </w:tbl>
    <w:p w:rsidR="000E18BE" w:rsidRPr="00577FE4" w:rsidRDefault="000E18BE" w:rsidP="007249DD"/>
    <w:sectPr w:rsidR="000E18BE" w:rsidRPr="00577FE4" w:rsidSect="00577F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D95"/>
    <w:multiLevelType w:val="hybridMultilevel"/>
    <w:tmpl w:val="38AC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D9"/>
    <w:multiLevelType w:val="hybridMultilevel"/>
    <w:tmpl w:val="58007A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323"/>
    <w:multiLevelType w:val="hybridMultilevel"/>
    <w:tmpl w:val="C3E6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6975"/>
    <w:multiLevelType w:val="hybridMultilevel"/>
    <w:tmpl w:val="F7C6EED8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706C"/>
    <w:multiLevelType w:val="hybridMultilevel"/>
    <w:tmpl w:val="7D28D880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820"/>
    <w:multiLevelType w:val="hybridMultilevel"/>
    <w:tmpl w:val="8FE0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6064"/>
    <w:multiLevelType w:val="hybridMultilevel"/>
    <w:tmpl w:val="61A446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F3BD6"/>
    <w:multiLevelType w:val="hybridMultilevel"/>
    <w:tmpl w:val="601A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B24"/>
    <w:multiLevelType w:val="hybridMultilevel"/>
    <w:tmpl w:val="D3806E26"/>
    <w:lvl w:ilvl="0" w:tplc="2B887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D2C4F"/>
    <w:multiLevelType w:val="hybridMultilevel"/>
    <w:tmpl w:val="2BE8CA0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022A1"/>
    <w:multiLevelType w:val="hybridMultilevel"/>
    <w:tmpl w:val="82F8D338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5AF6"/>
    <w:multiLevelType w:val="hybridMultilevel"/>
    <w:tmpl w:val="9C5E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217"/>
    <w:multiLevelType w:val="hybridMultilevel"/>
    <w:tmpl w:val="76CCF0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E5015"/>
    <w:multiLevelType w:val="hybridMultilevel"/>
    <w:tmpl w:val="D24AEB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5A9B"/>
    <w:multiLevelType w:val="hybridMultilevel"/>
    <w:tmpl w:val="842E72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B4766"/>
    <w:multiLevelType w:val="hybridMultilevel"/>
    <w:tmpl w:val="8F7E6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6263"/>
    <w:multiLevelType w:val="hybridMultilevel"/>
    <w:tmpl w:val="51C44E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6313B"/>
    <w:multiLevelType w:val="hybridMultilevel"/>
    <w:tmpl w:val="DD443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861BD"/>
    <w:multiLevelType w:val="hybridMultilevel"/>
    <w:tmpl w:val="98488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A727A"/>
    <w:multiLevelType w:val="hybridMultilevel"/>
    <w:tmpl w:val="FD8C82F6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B14FB"/>
    <w:multiLevelType w:val="hybridMultilevel"/>
    <w:tmpl w:val="51187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80DD3"/>
    <w:multiLevelType w:val="hybridMultilevel"/>
    <w:tmpl w:val="2C88DEE8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E5061"/>
    <w:multiLevelType w:val="hybridMultilevel"/>
    <w:tmpl w:val="D34CA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7104C"/>
    <w:multiLevelType w:val="hybridMultilevel"/>
    <w:tmpl w:val="9CE8E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F1176"/>
    <w:multiLevelType w:val="hybridMultilevel"/>
    <w:tmpl w:val="3CA26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2AEB"/>
    <w:multiLevelType w:val="hybridMultilevel"/>
    <w:tmpl w:val="561A9D28"/>
    <w:lvl w:ilvl="0" w:tplc="CF963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8E304C"/>
    <w:multiLevelType w:val="hybridMultilevel"/>
    <w:tmpl w:val="FAAC4F70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A6557"/>
    <w:multiLevelType w:val="hybridMultilevel"/>
    <w:tmpl w:val="309E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54A72"/>
    <w:multiLevelType w:val="hybridMultilevel"/>
    <w:tmpl w:val="518E1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2F06"/>
    <w:multiLevelType w:val="hybridMultilevel"/>
    <w:tmpl w:val="51C44E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9362E"/>
    <w:multiLevelType w:val="hybridMultilevel"/>
    <w:tmpl w:val="63786F68"/>
    <w:lvl w:ilvl="0" w:tplc="08090017">
      <w:start w:val="1"/>
      <w:numFmt w:val="lowerLetter"/>
      <w:lvlText w:val="%1)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DE65CC6"/>
    <w:multiLevelType w:val="hybridMultilevel"/>
    <w:tmpl w:val="D842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7D93"/>
    <w:multiLevelType w:val="hybridMultilevel"/>
    <w:tmpl w:val="871A71F4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649EA"/>
    <w:multiLevelType w:val="hybridMultilevel"/>
    <w:tmpl w:val="B0AA0BFA"/>
    <w:lvl w:ilvl="0" w:tplc="CF963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C059A0"/>
    <w:multiLevelType w:val="hybridMultilevel"/>
    <w:tmpl w:val="6FE2D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37330"/>
    <w:multiLevelType w:val="hybridMultilevel"/>
    <w:tmpl w:val="6CFEEF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25A5B"/>
    <w:multiLevelType w:val="hybridMultilevel"/>
    <w:tmpl w:val="495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714BB"/>
    <w:multiLevelType w:val="hybridMultilevel"/>
    <w:tmpl w:val="D702FD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72B8"/>
    <w:multiLevelType w:val="hybridMultilevel"/>
    <w:tmpl w:val="9E64D36E"/>
    <w:lvl w:ilvl="0" w:tplc="CF963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4"/>
  </w:num>
  <w:num w:numId="4">
    <w:abstractNumId w:val="22"/>
  </w:num>
  <w:num w:numId="5">
    <w:abstractNumId w:val="5"/>
  </w:num>
  <w:num w:numId="6">
    <w:abstractNumId w:val="31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27"/>
  </w:num>
  <w:num w:numId="12">
    <w:abstractNumId w:val="36"/>
  </w:num>
  <w:num w:numId="13">
    <w:abstractNumId w:val="37"/>
  </w:num>
  <w:num w:numId="14">
    <w:abstractNumId w:val="20"/>
  </w:num>
  <w:num w:numId="15">
    <w:abstractNumId w:val="32"/>
  </w:num>
  <w:num w:numId="16">
    <w:abstractNumId w:val="3"/>
  </w:num>
  <w:num w:numId="17">
    <w:abstractNumId w:val="38"/>
  </w:num>
  <w:num w:numId="18">
    <w:abstractNumId w:val="21"/>
  </w:num>
  <w:num w:numId="19">
    <w:abstractNumId w:val="4"/>
  </w:num>
  <w:num w:numId="20">
    <w:abstractNumId w:val="10"/>
  </w:num>
  <w:num w:numId="21">
    <w:abstractNumId w:val="26"/>
  </w:num>
  <w:num w:numId="22">
    <w:abstractNumId w:val="33"/>
  </w:num>
  <w:num w:numId="23">
    <w:abstractNumId w:val="25"/>
  </w:num>
  <w:num w:numId="24">
    <w:abstractNumId w:val="19"/>
  </w:num>
  <w:num w:numId="25">
    <w:abstractNumId w:val="6"/>
  </w:num>
  <w:num w:numId="26">
    <w:abstractNumId w:val="29"/>
  </w:num>
  <w:num w:numId="27">
    <w:abstractNumId w:val="24"/>
  </w:num>
  <w:num w:numId="28">
    <w:abstractNumId w:val="17"/>
  </w:num>
  <w:num w:numId="29">
    <w:abstractNumId w:val="18"/>
  </w:num>
  <w:num w:numId="30">
    <w:abstractNumId w:val="16"/>
  </w:num>
  <w:num w:numId="31">
    <w:abstractNumId w:val="35"/>
  </w:num>
  <w:num w:numId="32">
    <w:abstractNumId w:val="28"/>
  </w:num>
  <w:num w:numId="33">
    <w:abstractNumId w:val="9"/>
  </w:num>
  <w:num w:numId="34">
    <w:abstractNumId w:val="12"/>
  </w:num>
  <w:num w:numId="35">
    <w:abstractNumId w:val="8"/>
  </w:num>
  <w:num w:numId="36">
    <w:abstractNumId w:val="30"/>
  </w:num>
  <w:num w:numId="37">
    <w:abstractNumId w:val="1"/>
  </w:num>
  <w:num w:numId="38">
    <w:abstractNumId w:val="1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E4"/>
    <w:rsid w:val="000E18BE"/>
    <w:rsid w:val="000F4F9F"/>
    <w:rsid w:val="001455B3"/>
    <w:rsid w:val="00320409"/>
    <w:rsid w:val="00341570"/>
    <w:rsid w:val="00365936"/>
    <w:rsid w:val="00434E2A"/>
    <w:rsid w:val="00577FE4"/>
    <w:rsid w:val="005A15CA"/>
    <w:rsid w:val="005D26DB"/>
    <w:rsid w:val="005E0542"/>
    <w:rsid w:val="00645A26"/>
    <w:rsid w:val="006620E8"/>
    <w:rsid w:val="006A24BC"/>
    <w:rsid w:val="006C395B"/>
    <w:rsid w:val="007249DD"/>
    <w:rsid w:val="00870172"/>
    <w:rsid w:val="0087630D"/>
    <w:rsid w:val="00A00105"/>
    <w:rsid w:val="00A5695D"/>
    <w:rsid w:val="00AB5A2E"/>
    <w:rsid w:val="00B05B30"/>
    <w:rsid w:val="00BF08F5"/>
    <w:rsid w:val="00CB6828"/>
    <w:rsid w:val="00D749C7"/>
    <w:rsid w:val="00E3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918A-6DBE-448E-BB1F-74A1471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Academy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Baylis</dc:creator>
  <cp:keywords/>
  <dc:description/>
  <cp:lastModifiedBy>Sharon Keigher</cp:lastModifiedBy>
  <cp:revision>2</cp:revision>
  <dcterms:created xsi:type="dcterms:W3CDTF">2020-05-21T10:56:00Z</dcterms:created>
  <dcterms:modified xsi:type="dcterms:W3CDTF">2020-05-21T10:56:00Z</dcterms:modified>
</cp:coreProperties>
</file>